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2012/72 vom 18. Februar 2014</w:t>
      </w:r>
    </w:p>
    <w:p>
      <w:r>
        <w:t>Sg Versicherungsgericht, 2014-02-18, DE</w:t>
      </w:r>
    </w:p>
    <w:p>
      <w:r>
        <w:rPr>
          <w:b/>
        </w:rPr>
        <w:t xml:space="preserve">Quelle: </w:t>
      </w:r>
      <w:r>
        <w:t>https://mcp.opencaselaw.ch/entscheid/sg_publikationen_IV 2012_72</w:t>
      </w:r>
    </w:p>
    <w:p>
      <w:r>
        <w:t>FR: SG_VERSICHERUNGSGERICHT IV 2012/72 du 18 février 2014</w:t>
      </w:r>
    </w:p>
    <w:p>
      <w:r>
        <w:t>IT: SG_VERSICHERUNGSGERICHT IV 2012/72 del 18 febbraio 2014</w:t>
      </w:r>
    </w:p>
    <w:p>
      <w:pPr>
        <w:pStyle w:val="Heading2"/>
      </w:pPr>
      <w:r>
        <w:t>Regeste</w:t>
      </w:r>
    </w:p>
    <w:p>
      <w:r>
        <w:t>Art. 28 IVG. Rentenanspruch. Nach altem Verfahrensstandard eingeholtes MGSG-Gutachten ist mangels genügender Auseinandersetzung mit relevanten Vorakten nicht beweistauglich. Rückweisung zur polydisziplinären Begutachtung (Entscheid des Versicherungsgerichts des Kantons St. Gallen vom 18. Februar 2014, IV 2012/72).</w:t>
      </w:r>
    </w:p>
    <w:p>
      <w:pPr>
        <w:pStyle w:val="Heading2"/>
      </w:pPr>
      <w:r>
        <w:t>Erwägungen</w:t>
      </w:r>
    </w:p>
    <w:p>
      <w:r>
        <w:rPr>
          <w:b/>
        </w:rPr>
        <w:t>E. 1</w:t>
      </w:r>
    </w:p>
    <w:p>
      <w:r>
        <w:t>Zwischen den Parteien umstritten und nachfolgend zu prüfen, ist der Anspruch des Beschwerdeführers auf eine Invalidenrente.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1.2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Dem Umstand, dass ein nach altem Standard, d.h. vor der in BGE 137 V 210 vorgenommenen Praxisänderung, in Auftrag gegebenes Gutachten eine massgebende Entscheidungsgrundlage bildet, ist bei der Beweiswürdigung Rechnung zu tragen. In dieser speziellen Übergangssituation lässt sich die beweisrechtliche Situation der versicherten Person mit derjenigen bei versicherungsinternen medizinischen Entscheidungsgrundlagen vergleichen. In solchen Fällen genügen schon relativ geringe Zweifel an der Zuverlässigkeit und Schlüssigkeit der ärztlichen Feststellungen, um eine (neue) Begutachtung anzuordnen (Urteil des Bundesgerichts vom 17. September 2012, 9C_148/2012, E. 1.3 f. mit Hinweisen).</w:t>
      </w:r>
    </w:p>
    <w:p>
      <w:r>
        <w:rPr>
          <w:b/>
        </w:rPr>
        <w:t>E. 2</w:t>
      </w:r>
    </w:p>
    <w:p>
      <w:r>
        <w:t>Vorab ist die Frage zu beantworten, ob die medizinische Aktenlage eine rechtsgenüg­liche Beurteilung der Restarbeitsfähigkeit des Beschwerdeführers erlaubt. 2.1   Die Beschwerdegegnerin stützte sich in der angefochtenen Verfügung in medizinischer Hinsicht auf das MGSG-Gutachten vom 10. Juni 2010 (act. G 4.1.78; zum Gutachten siehe act. G 4.1.53). Der Beschwerdeführer hält dieses aus verschiedenen Gründen für nicht beweiskräftig (act. G 1). 2.2   Der Beschwerdeführer rügt u.a., die Gutachter hätten sich nicht mit dem von ihrer Beurteilung abweichenden, zuhanden des Krankentaggeldversicherers erstellten EFL-Bericht vom 26. August 2009 auseinandergesetzt (act. G 1, S. 10). 2.2.1         In der Tat wird der EFL-Bericht vom 26. August 2009 im Gutachten an keiner Stelle erwähnt, weshalb davon ausgegangen werden muss, dass dieser von den Gutachtern nicht zur Kenntnis genommen wurde. Dies wäre indessen umso erforderlicher gewesen, als darin eingehende Aussagen zur Leistungsfähigkeit enthalten sind und sowohl die Leistungsbereitschaft des Beschwerdeführers als zuverlässig als auch die Konsistenz bei den Tests als gut bezeichnet wurden. Daran ändert nichts, wenn auch auf relativ geringfügige pathologischen Befunde im Unterschenkel-/Fussbereich links hingewiesen wurde. Schliesslich hielten die Abklärungspersonen im Ergebnis eine (mindestens) vierstündige tägliche Arbeitszeit für zumutbar. Der zusätzliche Pausenbedarf betrage ca. 30 Minuten täglich (act. G 4.2). Es handelt sich damit um einen wesentlichen medizinischen Bericht, der nicht ausser Acht gelassen werden durfte. 2.2.2         Ins Gewicht fällt weiter, dass die Gutachter den Bericht der Klinik für Neurochirurgie des Kantonsspitals St. Gallen vom 5. Oktober 2009 (act. G 4.1.40) lediglich unvollständig in die Beurteilung einbezogen. So nahmen sie nicht zur Kenntnis, dass die neurochirurgischen Experten darin für leidensangepasste wechselbelastende Tätigkeiten lediglich eine 50%ige Arbeitsfähigkeit bescheinigten, nebst dem sie rein sitzende, rein stehende oder vorwiegend im Gehen ausgeübte Tätigkeiten für gänzlich unzumutbar hielten (act. G 4.1.40-5). Im Rahmen einer sorgfältigen Begutachtung hätte diese Einschätzung zumindest diskutiert und eine abweichende gutachterliche Beurteilung begründet werden müssen, zumal sie vom RAD - zumindest provisorisch - bestätigt wurde (Stellungnahmen vom 2. Juni, 18. September und 22. Oktober 2009, act. G 4.1.46-1 f.). Ergänzend ist zu bemerken, dass im Bericht der Klinik Valens vom 25. Januar 2011 ebenfalls von einer 50%igen Restarbeitsfähigkeit ausgegangen wurde (act. G 4.1.67-7 am Schluss), was zusätzliche Zweifel am MGSG-Gutachten weckt, zumindest zugunsten der neurochirurgischen Arbeitsfähigkeitsschätzung spricht. 2.2.3         Ein Gutachten, das (wie das vorliegende MGSG-Gutachten) die medizinischen Vorakten unzureichend berücksichtigt, ist unvollständig und vermag daher nicht zu Ergebnissen zu führen, die auf gesamthafter Würdigung der medizinischen Lage beruhen. Einer solchen Expertise fehlt rechtsprechungsgemäss die erforderliche Überzeugungs- und Beweiskraft selbst dann, wenn die auf der Grundlage der vom Experten selbst erhobenen Befunde gezogenen Schlüsse an sich einleuchten und vom Rechtsanwender prüfend nachvollzogen werden können (Urteil des Bundesgerichts vom 15. Juli 2008, 9C_51/2008, E. 2.2 mit weiteren Hinweisen). 2.2.4         Zusätzliche Zweifel an einer sorgfältigen Beurteilung des Beschwerdeführers durch die MGSG-Gutachter entstehen auch dadurch, dass für die angestammte, vorwiegend stehende Tätigkeit mit häufig rotierten Körperhaltungen eine 60%ige Arbeitsfähigkeit bescheinigt wurde (act. G 4.1.53-29), die sich mit den Vorakten nicht vereinbaren lässt. So haben die neurochirurgischen Experten des KSSG im Bericht vom 5. Oktober 2009 angegeben, dass dem Beschwerdeführer lediglich noch ein "ergonomischer Arbeitsplatz" mit wechselbelastenden Tätigkeiten (mit einer 50%igen Einschränkung) zumutbar sei (act. G 4.1.40-5). Bei der angestammten Tätigkeit war eine Anpassung auf eine wechselbelastende Tätigkeit gerade nicht möglich (EFL-Bericht vom 26. August 2009, act. G 4.2, S. 5). Rein stehende Tätigkeiten oder Tätigkeiten mit Rotationsbewegungen hielten sie nicht mehr für zumutbar (act. G 4.1.40-5). Die neurochirurgische Einschätzung wurde in der erst nach dem MGSG-Gutachten ergangenen ausführlichen Beurteilung der Klinik Valens vom 25. Januar 2011 geteilt (act. G 4.1.67-7). 2.2.5         Allein schon angesichts dieser Zweifel ist dem MGSG-Gutachten - das mit versicherungsinternen medizinischen Entscheidungsgrundlagen zu vergleichen ist (vgl. vorstehende E. 1.3) - der Beweiswert abzusprechen, weshalb offen bleiben kann, ob die weiteren vom Beschwerdeführer vorgetragenen Einwände gegen das Gutachten zutreffen (vgl. hierzu act. G 1, S. 10 ff.). An dieser Auffassung vermag die Stellungnahme des RAD vom 20. März 2012 (act. G 4.1.87) nichts zu ändern, da diese nicht geeignet ist, die unvollkommene Voraktenkenntnis der Gutachter zu beheben, zumal sie nicht auf eigenen fachärztlichen Untersuchungen beruht und sich nicht mit der neurochirurgischen Beurteilung vom 5. Oktober 2009 auseinandersetzt, worin dem Beschwerdeführer eine 50%ige Arbeitsunfähigkeit für leidensangepasste Tätigkeiten bescheinigt wurde (act. G 4.1.40-5). Wenn die RAD-Ärztin mit ihren Ausführungen zum Verhalten des Beschwerdeführers im Rahmen des Einsatzprogramms diesen in ein ungünstiges Licht rückt (act. G 4.1.87-2), übersieht sie, dass die von ihm geklagten Beschwerden im Rahmen des Einsatzprogramms auch "als objektiv vorhanden" bezeichnet wurden (act. G 4.1.44) und im Rahmen der EFL eine zuverlässige Leistungsbereitschaft bescheinigt wurde (Bericht vom 26. August 2009, act. G 4.2, S. 3). Da der Bericht der Klinik Valens vom 26. Januar 2011 seinerseits ebenfalls nicht in Würdigung der umfassenden Voraktenlage erfolgte und keine Aussagen zum zurückliegenden Arbeitsfähigkeitsverlauf enthält, vermag er das durch die Verneinung der Beweiskraft des MGSG-Gutachtens entstehende Abklärungsdefizit nicht zu kompensieren. 2.3   Nach dem Gesagten erweist sich der Sachverhalt als unzureichend polydisziplinär abgeklärt. Da das im Verwaltungsverfahren eingeholte Gutachten vor der Praxisänderung gemäss BGE 137 V 210 angefertigt wurde, mithin die darin neu vom Bundesgericht formulierten Verfahrensgarantien zugunsten der Versicherten nicht einbezog und nachträglich den ursprünglichen Beweiswert zwar nicht ganz aber doch in wesentlichem Umfang (Gleichstellung mit versicherungsinternen Berichten; relativ geringe Zweifel führen zur fehlenden Beweistauglichkeit; Urteil des Bundesgerichts vom 17. September 2012, 9C_148/2012, E. 1.3 f. mit Hinweisen) verlor, liegt aus beweisrechtlicher Sicht kein vollwertiges versicherungsexternes Gutachten vor bzw. ein solches wurde bis anhin im Verwaltungsverfahren nicht produziert. Des Weiteren ist in diesem Zusammenhang die Ausführung des Bundesgerichts zu beachten, wonach sich die Einschränkung der Befugnis der Sozialversicherungsgerichte, eine Streitsache zur neuen Begutachtung an die Verwaltung zurückzuweisen, "komplementär zu den (gemäss geänderter Rechtsprechung) bestehenden partizipativen Rechten der Versicherten im Zusammenhang mit der Anordnung eines Administrativgutachten" verhalte (BGE 137 V 264 E. 4.4.1.3). Im Übrigen erscheint es weder naheliegend noch sachlich begründet, dass das Bundesgericht die Absicht verfolgte, einerseits die nach altem Verfahrensstand ergangenen Administrativgutachten rückwirkend in ihrer Beweiswertigkeit erheblich zu beschränken, sie dann aber andererseits hinsichtlich der Einschränkung der Sozialversicherungsgerichte betreffend Rückweisungsmöglichkeiten den nach neuem Standard eingeholten Administrativgutachten gleichzustellen. Eine Gleichbehandlung der beiden Varianten von Administrativgutachten rechtfertigt sich allein schon wegen der wesentlich unterschiedlichen Beweiswertigkeit nicht. Da keine besonderen Umstände vorliegen, die ein Gerichtsgutachten erforderlich machen oder welche die Beschwerdegegnerin für weitere Abklärungsmassnahmen als ungeeignet erscheinen lassen, ist die Sache an die Beschwerdegegnerin zur Vornahme eines im Rahmen des neuen Verfahrensstandards zu ergehenden polydisziplinären Administrativgutachtens durch eine noch nicht mit dem Fall befasste, unabhängige Gutachterstelle zurückzuweisen. Die Rückweisung rechtfertigt sich vorliegend umso mehr, als der rechtskundig vertretene Beschwerdeführer ausdrücklich eine solche beantragt (act. G 1 und G 6), mithin einem im Rahmen eines fairen Verfahrens eingeholten Administrativgutachten den Vorzug gibt.</w:t>
      </w:r>
    </w:p>
    <w:p>
      <w:r>
        <w:rPr>
          <w:b/>
        </w:rPr>
        <w:t>E. 3</w:t>
      </w:r>
    </w:p>
    <w:p>
      <w:r>
        <w:t>Bei diesem Verfahrensausgang erübrigen sich Ausführungen zur beantragten Heilung der geltend gemachten Gehörsverletzung (vgl. hierzu act. G 1, S. 9) sowie zur Höhe der Vergleichseinkommen.</w:t>
      </w:r>
    </w:p>
    <w:p>
      <w:r>
        <w:rPr>
          <w:b/>
        </w:rPr>
        <w:t>E. 4</w:t>
      </w:r>
    </w:p>
    <w:p>
      <w:r>
        <w:t>4.1   Nach dem Gesagten ist die angefochtene Verfügung vom 13. Januar 2012 in teilweiser Gutheissung der Beschwerde aufzuheben und die Sache ist zur weiteren Abklärung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Bei diesem Ausgang erübrigt sich die Festlegung einer Entschädigung aus der gewährten unentgeltlichen Rechstverbeiständung. Demgemäss hat das Versicherungsgericht im Zirkulationsverfahren gemäss Art. 39 VRP entschieden: 1.      In teilweiser Gutheissung der Beschwerde wird die angefochtene Verfügung vom 13. Januar 2012 aufgehoben. Die Sache wird zur ergänzenden Abklärung und zu neuer Verfügung im Sinn der Erwägungen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